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42" w:rsidRDefault="00C84094">
      <w:pPr>
        <w:rPr>
          <w:b/>
        </w:rPr>
      </w:pPr>
      <w:r w:rsidRPr="00C84094">
        <w:rPr>
          <w:b/>
        </w:rPr>
        <w:t xml:space="preserve">Guide to </w:t>
      </w:r>
      <w:r w:rsidRPr="00C84094">
        <w:rPr>
          <w:b/>
          <w:i/>
        </w:rPr>
        <w:t>MLA Handbook</w:t>
      </w:r>
      <w:r w:rsidRPr="00C84094">
        <w:rPr>
          <w:b/>
        </w:rPr>
        <w:t>, 8</w:t>
      </w:r>
      <w:r w:rsidRPr="00C84094">
        <w:rPr>
          <w:b/>
          <w:vertAlign w:val="superscript"/>
        </w:rPr>
        <w:t>th</w:t>
      </w:r>
      <w:r w:rsidRPr="00C84094">
        <w:rPr>
          <w:b/>
        </w:rPr>
        <w:t xml:space="preserve"> edition</w:t>
      </w:r>
    </w:p>
    <w:p w:rsidR="00C84094" w:rsidRDefault="00C84094" w:rsidP="002C4FD0">
      <w:pPr>
        <w:spacing w:after="0"/>
      </w:pPr>
      <w:r w:rsidRPr="00C84094">
        <w:rPr>
          <w:b/>
        </w:rPr>
        <w:t>The Core Elements</w:t>
      </w:r>
      <w:r>
        <w:t xml:space="preserve"> </w:t>
      </w:r>
      <w:r w:rsidR="00D86D25">
        <w:rPr>
          <w:b/>
        </w:rPr>
        <w:t>(</w:t>
      </w:r>
      <w:r w:rsidRPr="00755168">
        <w:rPr>
          <w:b/>
        </w:rPr>
        <w:t>20)</w:t>
      </w:r>
      <w:r w:rsidR="005A1DA4" w:rsidRPr="005A1DA4">
        <w:t>:</w:t>
      </w:r>
      <w:r w:rsidR="005A1DA4">
        <w:rPr>
          <w:b/>
        </w:rPr>
        <w:t xml:space="preserve"> </w:t>
      </w:r>
      <w:r>
        <w:t xml:space="preserve">Author. </w:t>
      </w:r>
      <w:proofErr w:type="gramStart"/>
      <w:r>
        <w:t>Title of source.</w:t>
      </w:r>
      <w:proofErr w:type="gramEnd"/>
      <w:r>
        <w:t xml:space="preserve"> Title of container, </w:t>
      </w:r>
      <w:proofErr w:type="gramStart"/>
      <w:r>
        <w:t>Other</w:t>
      </w:r>
      <w:proofErr w:type="gramEnd"/>
      <w:r>
        <w:t xml:space="preserve"> contributors, Version, Number, Publisher, Publication date, Location.</w:t>
      </w:r>
    </w:p>
    <w:p w:rsidR="00FF0598" w:rsidRDefault="00FF0598" w:rsidP="007574DA">
      <w:pPr>
        <w:pStyle w:val="ListParagraph"/>
        <w:numPr>
          <w:ilvl w:val="0"/>
          <w:numId w:val="1"/>
        </w:numPr>
      </w:pPr>
      <w:r>
        <w:t>Follow the punctuation in the above list.</w:t>
      </w:r>
    </w:p>
    <w:p w:rsidR="00C84094" w:rsidRDefault="00C84094" w:rsidP="007574DA">
      <w:pPr>
        <w:pStyle w:val="ListParagraph"/>
        <w:numPr>
          <w:ilvl w:val="0"/>
          <w:numId w:val="1"/>
        </w:numPr>
      </w:pPr>
      <w:r>
        <w:t xml:space="preserve">Your focus determines what goes in the initial position. For example, if your focus is the translation of a work from a foreign language, </w:t>
      </w:r>
      <w:r w:rsidR="009219A4">
        <w:t>put the translator(s) first (</w:t>
      </w:r>
      <w:r>
        <w:t>23).</w:t>
      </w:r>
    </w:p>
    <w:p w:rsidR="00C84094" w:rsidRDefault="00C84094" w:rsidP="007574DA">
      <w:pPr>
        <w:pStyle w:val="ListParagraph"/>
        <w:numPr>
          <w:ilvl w:val="0"/>
          <w:numId w:val="1"/>
        </w:numPr>
      </w:pPr>
      <w:r>
        <w:t>If the author is also the publisher, the title g</w:t>
      </w:r>
      <w:r w:rsidR="009219A4">
        <w:t>oes in the initial position (</w:t>
      </w:r>
      <w:r>
        <w:t>25).</w:t>
      </w:r>
    </w:p>
    <w:p w:rsidR="00413C9E" w:rsidRDefault="00413C9E" w:rsidP="007574DA">
      <w:pPr>
        <w:pStyle w:val="ListParagraph"/>
        <w:numPr>
          <w:ilvl w:val="0"/>
          <w:numId w:val="1"/>
        </w:numPr>
      </w:pPr>
      <w:r>
        <w:t>Use / between multiple parts of the same ele</w:t>
      </w:r>
      <w:r w:rsidR="00AA4545">
        <w:t>me</w:t>
      </w:r>
      <w:r>
        <w:t>nt: National Gallery of Art / Yale UP (111).</w:t>
      </w:r>
    </w:p>
    <w:p w:rsidR="00AA4545" w:rsidRDefault="00AA4545" w:rsidP="002C4FD0">
      <w:pPr>
        <w:spacing w:after="0" w:line="240" w:lineRule="auto"/>
      </w:pPr>
      <w:r>
        <w:rPr>
          <w:b/>
        </w:rPr>
        <w:t>R</w:t>
      </w:r>
      <w:r w:rsidRPr="00C84094">
        <w:rPr>
          <w:b/>
        </w:rPr>
        <w:t xml:space="preserve">eading in the HMXP </w:t>
      </w:r>
      <w:r>
        <w:rPr>
          <w:b/>
        </w:rPr>
        <w:t>102 anthology</w:t>
      </w:r>
      <w:r>
        <w:t>:</w:t>
      </w:r>
    </w:p>
    <w:p w:rsidR="00AA4545" w:rsidRDefault="00AA4545" w:rsidP="002C4FD0">
      <w:pPr>
        <w:spacing w:line="240" w:lineRule="auto"/>
      </w:pPr>
      <w:r>
        <w:t xml:space="preserve">Lewis, C. S. </w:t>
      </w:r>
      <w:r w:rsidRPr="00C84094">
        <w:rPr>
          <w:i/>
        </w:rPr>
        <w:t>Mere Christianity</w:t>
      </w:r>
      <w:r>
        <w:t xml:space="preserve">. </w:t>
      </w:r>
      <w:r w:rsidRPr="0099436F">
        <w:rPr>
          <w:i/>
        </w:rPr>
        <w:t>The Human Experience: Who Am I</w:t>
      </w:r>
      <w:proofErr w:type="gramStart"/>
      <w:r w:rsidRPr="0099436F">
        <w:rPr>
          <w:i/>
        </w:rPr>
        <w:t>?</w:t>
      </w:r>
      <w:r>
        <w:t>,</w:t>
      </w:r>
      <w:proofErr w:type="gramEnd"/>
      <w:r>
        <w:t xml:space="preserve"> edited by Winthrop</w:t>
      </w:r>
    </w:p>
    <w:p w:rsidR="00AA4545" w:rsidRDefault="00AA4545" w:rsidP="002C4FD0">
      <w:pPr>
        <w:spacing w:line="240" w:lineRule="auto"/>
      </w:pPr>
      <w:r>
        <w:tab/>
        <w:t xml:space="preserve">University, </w:t>
      </w:r>
      <w:r w:rsidR="00D86CEB">
        <w:t>9th</w:t>
      </w:r>
      <w:r>
        <w:t xml:space="preserve"> ed</w:t>
      </w:r>
      <w:r w:rsidR="005F27CB">
        <w:t>.</w:t>
      </w:r>
      <w:r>
        <w:t>, Tapestry</w:t>
      </w:r>
      <w:r w:rsidR="00144E23">
        <w:t xml:space="preserve"> Press</w:t>
      </w:r>
      <w:r>
        <w:t>, 2015, pp. 263-68.</w:t>
      </w:r>
    </w:p>
    <w:p w:rsidR="00AA4545" w:rsidRDefault="00AA4545" w:rsidP="002C4FD0">
      <w:pPr>
        <w:spacing w:after="0" w:line="240" w:lineRule="auto"/>
      </w:pPr>
      <w:r w:rsidRPr="0099436F">
        <w:rPr>
          <w:b/>
        </w:rPr>
        <w:t>CRTW</w:t>
      </w:r>
      <w:r>
        <w:rPr>
          <w:b/>
        </w:rPr>
        <w:t xml:space="preserve"> 201</w:t>
      </w:r>
      <w:r w:rsidRPr="0099436F">
        <w:rPr>
          <w:b/>
        </w:rPr>
        <w:t xml:space="preserve"> manual</w:t>
      </w:r>
      <w:r>
        <w:t>:</w:t>
      </w:r>
    </w:p>
    <w:p w:rsidR="00AA4545" w:rsidRPr="0099436F" w:rsidRDefault="00AA4545" w:rsidP="002C4FD0">
      <w:pPr>
        <w:spacing w:line="240" w:lineRule="auto"/>
        <w:rPr>
          <w:i/>
        </w:rPr>
      </w:pPr>
      <w:proofErr w:type="spellStart"/>
      <w:r>
        <w:t>Nosich</w:t>
      </w:r>
      <w:proofErr w:type="spellEnd"/>
      <w:r>
        <w:t xml:space="preserve">, Gerald M. </w:t>
      </w:r>
      <w:r w:rsidRPr="0099436F">
        <w:rPr>
          <w:i/>
        </w:rPr>
        <w:t>Learning to Think Things through: A Guide to Critical Thinking across</w:t>
      </w:r>
    </w:p>
    <w:p w:rsidR="00AA4545" w:rsidRDefault="00AA4545" w:rsidP="002C4FD0">
      <w:pPr>
        <w:spacing w:line="240" w:lineRule="auto"/>
      </w:pPr>
      <w:r w:rsidRPr="0099436F">
        <w:rPr>
          <w:i/>
        </w:rPr>
        <w:tab/>
      </w:r>
      <w:proofErr w:type="gramStart"/>
      <w:r w:rsidRPr="0099436F">
        <w:rPr>
          <w:i/>
        </w:rPr>
        <w:t>the</w:t>
      </w:r>
      <w:proofErr w:type="gramEnd"/>
      <w:r w:rsidRPr="0099436F">
        <w:rPr>
          <w:i/>
        </w:rPr>
        <w:t xml:space="preserve"> Curriculum</w:t>
      </w:r>
      <w:r>
        <w:t xml:space="preserve">. </w:t>
      </w:r>
      <w:proofErr w:type="gramStart"/>
      <w:r w:rsidR="00D86CEB">
        <w:t>4th</w:t>
      </w:r>
      <w:r w:rsidR="005F27CB">
        <w:t xml:space="preserve"> ed.</w:t>
      </w:r>
      <w:r>
        <w:t>, Pearson Education, 2012.</w:t>
      </w:r>
      <w:proofErr w:type="gramEnd"/>
    </w:p>
    <w:p w:rsidR="002C4FD0" w:rsidRPr="00531BDF" w:rsidRDefault="002C4FD0" w:rsidP="002C4FD0">
      <w:pPr>
        <w:spacing w:after="0" w:line="240" w:lineRule="auto"/>
        <w:rPr>
          <w:b/>
        </w:rPr>
      </w:pPr>
      <w:r>
        <w:rPr>
          <w:b/>
        </w:rPr>
        <w:t>Source</w:t>
      </w:r>
      <w:r w:rsidR="00D86CEB">
        <w:rPr>
          <w:b/>
        </w:rPr>
        <w:t xml:space="preserve"> in a collection (</w:t>
      </w:r>
      <w:r w:rsidRPr="00531BDF">
        <w:rPr>
          <w:b/>
        </w:rPr>
        <w:t>30)</w:t>
      </w:r>
      <w:r w:rsidRPr="00531BDF">
        <w:t>:</w:t>
      </w:r>
    </w:p>
    <w:p w:rsidR="002C4FD0" w:rsidRDefault="002C4FD0" w:rsidP="002C4FD0">
      <w:pPr>
        <w:spacing w:line="240" w:lineRule="auto"/>
      </w:pPr>
      <w:proofErr w:type="spellStart"/>
      <w:r>
        <w:t>Bazin</w:t>
      </w:r>
      <w:proofErr w:type="spellEnd"/>
      <w:r>
        <w:t xml:space="preserve">, Patrick. </w:t>
      </w:r>
      <w:proofErr w:type="gramStart"/>
      <w:r>
        <w:t xml:space="preserve">“Toward </w:t>
      </w:r>
      <w:proofErr w:type="spellStart"/>
      <w:r>
        <w:t>Metareading</w:t>
      </w:r>
      <w:proofErr w:type="spellEnd"/>
      <w:r>
        <w:t>.”</w:t>
      </w:r>
      <w:proofErr w:type="gramEnd"/>
      <w:r>
        <w:t xml:space="preserve"> </w:t>
      </w:r>
      <w:r w:rsidRPr="000D6351">
        <w:rPr>
          <w:i/>
        </w:rPr>
        <w:t>The Future of the Book</w:t>
      </w:r>
      <w:r>
        <w:t xml:space="preserve">, edited by Geoffrey </w:t>
      </w:r>
      <w:proofErr w:type="spellStart"/>
      <w:r>
        <w:t>Nunberg</w:t>
      </w:r>
      <w:proofErr w:type="spellEnd"/>
      <w:r>
        <w:t>,</w:t>
      </w:r>
    </w:p>
    <w:p w:rsidR="002C4FD0" w:rsidRDefault="002C4FD0" w:rsidP="002C4FD0">
      <w:pPr>
        <w:spacing w:line="240" w:lineRule="auto"/>
      </w:pPr>
      <w:r>
        <w:tab/>
        <w:t>U of California, P, 1996, pp. 153-68.</w:t>
      </w:r>
    </w:p>
    <w:p w:rsidR="002C4FD0" w:rsidRDefault="00D86CEB" w:rsidP="002C4FD0">
      <w:pPr>
        <w:spacing w:after="0" w:line="240" w:lineRule="auto"/>
      </w:pPr>
      <w:r>
        <w:rPr>
          <w:b/>
        </w:rPr>
        <w:t>Translation (</w:t>
      </w:r>
      <w:r w:rsidR="002C4FD0" w:rsidRPr="007574DA">
        <w:rPr>
          <w:b/>
        </w:rPr>
        <w:t>37)</w:t>
      </w:r>
      <w:r w:rsidR="002C4FD0">
        <w:t>:</w:t>
      </w:r>
    </w:p>
    <w:p w:rsidR="002C4FD0" w:rsidRPr="007574DA" w:rsidRDefault="002C4FD0" w:rsidP="002C4FD0">
      <w:pPr>
        <w:spacing w:line="240" w:lineRule="auto"/>
        <w:rPr>
          <w:i/>
        </w:rPr>
      </w:pPr>
      <w:proofErr w:type="spellStart"/>
      <w:proofErr w:type="gramStart"/>
      <w:r>
        <w:t>Chartier</w:t>
      </w:r>
      <w:proofErr w:type="spellEnd"/>
      <w:r>
        <w:t>, Roger.</w:t>
      </w:r>
      <w:proofErr w:type="gramEnd"/>
      <w:r>
        <w:t xml:space="preserve"> </w:t>
      </w:r>
      <w:r w:rsidRPr="007574DA">
        <w:rPr>
          <w:i/>
        </w:rPr>
        <w:t>The Order of Books: Readers, Authors, and Libraries in Europe between</w:t>
      </w:r>
    </w:p>
    <w:p w:rsidR="002C4FD0" w:rsidRDefault="002C4FD0" w:rsidP="002C4FD0">
      <w:pPr>
        <w:spacing w:line="240" w:lineRule="auto"/>
      </w:pPr>
      <w:r w:rsidRPr="007574DA">
        <w:rPr>
          <w:i/>
        </w:rPr>
        <w:tab/>
      </w:r>
      <w:proofErr w:type="gramStart"/>
      <w:r w:rsidRPr="007574DA">
        <w:rPr>
          <w:i/>
        </w:rPr>
        <w:t>the</w:t>
      </w:r>
      <w:proofErr w:type="gramEnd"/>
      <w:r w:rsidRPr="007574DA">
        <w:rPr>
          <w:i/>
        </w:rPr>
        <w:t xml:space="preserve"> Fourteenth and Eighteenth Centuries</w:t>
      </w:r>
      <w:r>
        <w:t>. Translated by Lydia G. Cochrane, Stanford</w:t>
      </w:r>
    </w:p>
    <w:p w:rsidR="002C4FD0" w:rsidRDefault="002C4FD0" w:rsidP="002C4FD0">
      <w:pPr>
        <w:spacing w:line="240" w:lineRule="auto"/>
      </w:pPr>
      <w:r>
        <w:tab/>
        <w:t>UP, 1994.</w:t>
      </w:r>
    </w:p>
    <w:p w:rsidR="002C4FD0" w:rsidRDefault="002C4FD0" w:rsidP="002C4FD0">
      <w:pPr>
        <w:spacing w:after="0" w:line="240" w:lineRule="auto"/>
        <w:rPr>
          <w:b/>
        </w:rPr>
      </w:pPr>
      <w:r>
        <w:rPr>
          <w:b/>
        </w:rPr>
        <w:t>Multivolume work</w:t>
      </w:r>
      <w:r w:rsidRPr="007574DA">
        <w:t>:</w:t>
      </w:r>
    </w:p>
    <w:p w:rsidR="002C4FD0" w:rsidRDefault="002C4FD0" w:rsidP="002C4FD0">
      <w:pPr>
        <w:spacing w:line="240" w:lineRule="auto"/>
      </w:pPr>
      <w:r w:rsidRPr="007574DA">
        <w:t>Jung</w:t>
      </w:r>
      <w:r>
        <w:t xml:space="preserve">, C. G. </w:t>
      </w:r>
      <w:proofErr w:type="gramStart"/>
      <w:r w:rsidRPr="00F401CF">
        <w:rPr>
          <w:i/>
        </w:rPr>
        <w:t>The Collected Works of C. G. Jung</w:t>
      </w:r>
      <w:r w:rsidR="005F27CB">
        <w:t>.</w:t>
      </w:r>
      <w:proofErr w:type="gramEnd"/>
      <w:r w:rsidR="005F27CB">
        <w:t xml:space="preserve"> G</w:t>
      </w:r>
      <w:r>
        <w:t>eneral editor</w:t>
      </w:r>
      <w:r w:rsidR="005F27CB">
        <w:t>,</w:t>
      </w:r>
      <w:r>
        <w:t xml:space="preserve"> Sir Herbert Re</w:t>
      </w:r>
      <w:r w:rsidR="00B72F66">
        <w:t>a</w:t>
      </w:r>
      <w:r>
        <w:t>d et al</w:t>
      </w:r>
      <w:proofErr w:type="gramStart"/>
      <w:r>
        <w:t>.,</w:t>
      </w:r>
      <w:proofErr w:type="gramEnd"/>
      <w:r>
        <w:t xml:space="preserve"> </w:t>
      </w:r>
    </w:p>
    <w:p w:rsidR="002C4FD0" w:rsidRDefault="002C4FD0" w:rsidP="002C4FD0">
      <w:pPr>
        <w:spacing w:line="240" w:lineRule="auto"/>
        <w:ind w:firstLine="720"/>
      </w:pPr>
      <w:proofErr w:type="gramStart"/>
      <w:r>
        <w:t>translated</w:t>
      </w:r>
      <w:proofErr w:type="gramEnd"/>
      <w:r>
        <w:t xml:space="preserve"> by R. F. C. Hull, </w:t>
      </w:r>
      <w:r w:rsidR="00D86CEB">
        <w:t>2nd</w:t>
      </w:r>
      <w:r>
        <w:t xml:space="preserve"> </w:t>
      </w:r>
      <w:r w:rsidR="005F27CB">
        <w:t>ed.</w:t>
      </w:r>
      <w:r>
        <w:t xml:space="preserve">, Princeton UP, 1953-79. 20 vols. </w:t>
      </w:r>
      <w:proofErr w:type="spellStart"/>
      <w:r>
        <w:t>Bollingen</w:t>
      </w:r>
      <w:proofErr w:type="spellEnd"/>
    </w:p>
    <w:p w:rsidR="002C4FD0" w:rsidRDefault="002C4FD0" w:rsidP="002C4FD0">
      <w:pPr>
        <w:spacing w:line="240" w:lineRule="auto"/>
        <w:ind w:firstLine="720"/>
      </w:pPr>
      <w:proofErr w:type="gramStart"/>
      <w:r>
        <w:t>Series 20.</w:t>
      </w:r>
      <w:proofErr w:type="gramEnd"/>
    </w:p>
    <w:p w:rsidR="005F27CB" w:rsidRDefault="005F27CB" w:rsidP="005F27CB">
      <w:pPr>
        <w:spacing w:after="0" w:line="240" w:lineRule="auto"/>
      </w:pPr>
      <w:r w:rsidRPr="005F27CB">
        <w:rPr>
          <w:b/>
        </w:rPr>
        <w:t>Volume in a series</w:t>
      </w:r>
      <w:r>
        <w:t>:</w:t>
      </w:r>
    </w:p>
    <w:p w:rsidR="005F27CB" w:rsidRDefault="005F27CB" w:rsidP="005F27CB">
      <w:pPr>
        <w:spacing w:line="240" w:lineRule="auto"/>
      </w:pPr>
      <w:r>
        <w:t xml:space="preserve">Jung, C. G. </w:t>
      </w:r>
      <w:r w:rsidRPr="005F27CB">
        <w:rPr>
          <w:i/>
        </w:rPr>
        <w:t>Symbols of Transformation</w:t>
      </w:r>
      <w:r>
        <w:t xml:space="preserve">. </w:t>
      </w:r>
      <w:r w:rsidRPr="005F27CB">
        <w:rPr>
          <w:i/>
        </w:rPr>
        <w:t>The Collected Works of C. G. Jung</w:t>
      </w:r>
      <w:r>
        <w:t>, general editor,</w:t>
      </w:r>
    </w:p>
    <w:p w:rsidR="005F27CB" w:rsidRDefault="005F27CB" w:rsidP="005F27CB">
      <w:pPr>
        <w:spacing w:line="240" w:lineRule="auto"/>
      </w:pPr>
      <w:r>
        <w:tab/>
        <w:t>Sir Herbert Re</w:t>
      </w:r>
      <w:r w:rsidR="00B72F66">
        <w:t>a</w:t>
      </w:r>
      <w:bookmarkStart w:id="0" w:name="_GoBack"/>
      <w:bookmarkEnd w:id="0"/>
      <w:r>
        <w:t xml:space="preserve">d et al., translated by R. F. C. Hull, </w:t>
      </w:r>
      <w:r w:rsidR="00D86CEB">
        <w:t>2nd</w:t>
      </w:r>
      <w:r>
        <w:t xml:space="preserve"> ed., vol. 5, Princeton UP, </w:t>
      </w:r>
    </w:p>
    <w:p w:rsidR="005F27CB" w:rsidRPr="007574DA" w:rsidRDefault="005F27CB" w:rsidP="005F27CB">
      <w:pPr>
        <w:spacing w:line="240" w:lineRule="auto"/>
      </w:pPr>
      <w:r>
        <w:tab/>
        <w:t xml:space="preserve">1956. </w:t>
      </w:r>
      <w:proofErr w:type="spellStart"/>
      <w:r>
        <w:t>Bollingen</w:t>
      </w:r>
      <w:proofErr w:type="spellEnd"/>
      <w:r>
        <w:t xml:space="preserve"> Series 20.</w:t>
      </w:r>
    </w:p>
    <w:p w:rsidR="005A1DA4" w:rsidRDefault="00D86CEB" w:rsidP="005A1DA4">
      <w:pPr>
        <w:spacing w:after="0" w:line="240" w:lineRule="auto"/>
      </w:pPr>
      <w:r>
        <w:rPr>
          <w:b/>
        </w:rPr>
        <w:t>Bible (</w:t>
      </w:r>
      <w:r w:rsidR="005A1DA4" w:rsidRPr="00AA4545">
        <w:rPr>
          <w:b/>
        </w:rPr>
        <w:t>123)</w:t>
      </w:r>
      <w:r w:rsidR="005A1DA4">
        <w:t>:</w:t>
      </w:r>
    </w:p>
    <w:p w:rsidR="005A1DA4" w:rsidRDefault="005A1DA4" w:rsidP="005A1DA4">
      <w:pPr>
        <w:spacing w:line="240" w:lineRule="auto"/>
      </w:pPr>
      <w:proofErr w:type="gramStart"/>
      <w:r w:rsidRPr="00AA4545">
        <w:rPr>
          <w:i/>
        </w:rPr>
        <w:t>The New Jerusalem Bible</w:t>
      </w:r>
      <w:r>
        <w:t>.</w:t>
      </w:r>
      <w:proofErr w:type="gramEnd"/>
      <w:r>
        <w:t xml:space="preserve"> General </w:t>
      </w:r>
      <w:proofErr w:type="gramStart"/>
      <w:r>
        <w:t>editor</w:t>
      </w:r>
      <w:proofErr w:type="gramEnd"/>
      <w:r>
        <w:t xml:space="preserve">, Henry </w:t>
      </w:r>
      <w:proofErr w:type="spellStart"/>
      <w:r>
        <w:t>Wansbrough</w:t>
      </w:r>
      <w:proofErr w:type="spellEnd"/>
      <w:r>
        <w:t>, Doubleday, 1985.</w:t>
      </w:r>
    </w:p>
    <w:p w:rsidR="002C4FD0" w:rsidRDefault="002C4FD0" w:rsidP="002C4FD0">
      <w:pPr>
        <w:spacing w:after="0" w:line="240" w:lineRule="auto"/>
      </w:pPr>
      <w:r>
        <w:rPr>
          <w:b/>
        </w:rPr>
        <w:lastRenderedPageBreak/>
        <w:t>Shakespeare play</w:t>
      </w:r>
      <w:r w:rsidRPr="00A560FA">
        <w:t>:</w:t>
      </w:r>
    </w:p>
    <w:p w:rsidR="002C4FD0" w:rsidRPr="007574DA" w:rsidRDefault="002C4FD0" w:rsidP="002C4FD0">
      <w:pPr>
        <w:spacing w:line="240" w:lineRule="auto"/>
        <w:rPr>
          <w:i/>
        </w:rPr>
      </w:pPr>
      <w:r>
        <w:t xml:space="preserve">Shakespeare, William. </w:t>
      </w:r>
      <w:r w:rsidRPr="007574DA">
        <w:rPr>
          <w:i/>
        </w:rPr>
        <w:t>Othello, the Moor of Venice</w:t>
      </w:r>
      <w:r>
        <w:t xml:space="preserve">. </w:t>
      </w:r>
      <w:r w:rsidRPr="007574DA">
        <w:rPr>
          <w:i/>
        </w:rPr>
        <w:t xml:space="preserve">The Complete Works of William </w:t>
      </w:r>
    </w:p>
    <w:p w:rsidR="002C4FD0" w:rsidRDefault="002C4FD0" w:rsidP="002C4FD0">
      <w:pPr>
        <w:spacing w:line="240" w:lineRule="auto"/>
        <w:ind w:firstLine="720"/>
      </w:pPr>
      <w:r w:rsidRPr="007574DA">
        <w:rPr>
          <w:i/>
        </w:rPr>
        <w:t>Shakespeare</w:t>
      </w:r>
      <w:r>
        <w:t xml:space="preserve">, edited by David </w:t>
      </w:r>
      <w:proofErr w:type="spellStart"/>
      <w:r>
        <w:t>Bevington</w:t>
      </w:r>
      <w:proofErr w:type="spellEnd"/>
      <w:r>
        <w:t xml:space="preserve">, </w:t>
      </w:r>
      <w:r w:rsidR="005B74A8">
        <w:t>5th</w:t>
      </w:r>
      <w:r w:rsidR="005A1DA4">
        <w:t xml:space="preserve"> ed.</w:t>
      </w:r>
      <w:r>
        <w:t xml:space="preserve">, Pearson Education, 2004, pp. </w:t>
      </w:r>
    </w:p>
    <w:p w:rsidR="002C4FD0" w:rsidRDefault="005B74A8" w:rsidP="002C4FD0">
      <w:pPr>
        <w:spacing w:line="240" w:lineRule="auto"/>
        <w:ind w:firstLine="720"/>
      </w:pPr>
      <w:proofErr w:type="gramStart"/>
      <w:r>
        <w:t>1150-1</w:t>
      </w:r>
      <w:r w:rsidR="002C4FD0">
        <w:t>200.</w:t>
      </w:r>
      <w:proofErr w:type="gramEnd"/>
    </w:p>
    <w:p w:rsidR="0099436F" w:rsidRDefault="00D86CEB" w:rsidP="002C4FD0">
      <w:pPr>
        <w:spacing w:after="0" w:line="240" w:lineRule="auto"/>
        <w:rPr>
          <w:b/>
        </w:rPr>
      </w:pPr>
      <w:r>
        <w:rPr>
          <w:b/>
        </w:rPr>
        <w:t>Article in a journal (</w:t>
      </w:r>
      <w:r w:rsidR="005A1DA4">
        <w:rPr>
          <w:b/>
        </w:rPr>
        <w:t>30)</w:t>
      </w:r>
      <w:r w:rsidR="0099436F" w:rsidRPr="0099436F">
        <w:t>:</w:t>
      </w:r>
    </w:p>
    <w:p w:rsidR="000D6351" w:rsidRDefault="000D6351" w:rsidP="002C4FD0">
      <w:pPr>
        <w:spacing w:after="0" w:line="240" w:lineRule="auto"/>
      </w:pPr>
      <w:r>
        <w:t xml:space="preserve">Baron, Naomi S. “Redefining Reading: The Impact of Digital Communication Media.” </w:t>
      </w:r>
      <w:r w:rsidRPr="000D6351">
        <w:rPr>
          <w:i/>
        </w:rPr>
        <w:t>PMLA</w:t>
      </w:r>
      <w:r>
        <w:t>,</w:t>
      </w:r>
    </w:p>
    <w:p w:rsidR="00FF0598" w:rsidRDefault="00FF0598" w:rsidP="002C4FD0">
      <w:pPr>
        <w:spacing w:after="0" w:line="240" w:lineRule="auto"/>
      </w:pPr>
    </w:p>
    <w:p w:rsidR="000D6351" w:rsidRPr="0099436F" w:rsidRDefault="000D6351" w:rsidP="002C4FD0">
      <w:pPr>
        <w:spacing w:line="240" w:lineRule="auto"/>
      </w:pPr>
      <w:r>
        <w:tab/>
        <w:t>vol. 128, no. 1, Jan. 2013, pp. 193-200.</w:t>
      </w:r>
    </w:p>
    <w:p w:rsidR="000D6351" w:rsidRDefault="000D6351" w:rsidP="002C4FD0">
      <w:pPr>
        <w:spacing w:after="0" w:line="240" w:lineRule="auto"/>
      </w:pPr>
      <w:r w:rsidRPr="000D6351">
        <w:rPr>
          <w:b/>
        </w:rPr>
        <w:t>Article retrieved from a database</w:t>
      </w:r>
      <w:r w:rsidR="00D86CEB">
        <w:rPr>
          <w:b/>
        </w:rPr>
        <w:t xml:space="preserve"> (</w:t>
      </w:r>
      <w:r w:rsidR="002155BB">
        <w:rPr>
          <w:b/>
        </w:rPr>
        <w:t>32</w:t>
      </w:r>
      <w:r w:rsidR="005A1DA4">
        <w:rPr>
          <w:b/>
        </w:rPr>
        <w:t>)</w:t>
      </w:r>
      <w:r>
        <w:t>:</w:t>
      </w:r>
    </w:p>
    <w:p w:rsidR="000D6351" w:rsidRDefault="000D6351" w:rsidP="002C4FD0">
      <w:pPr>
        <w:spacing w:after="0" w:line="240" w:lineRule="auto"/>
        <w:rPr>
          <w:i/>
        </w:rPr>
      </w:pPr>
      <w:r>
        <w:t xml:space="preserve">Goldman, Anne. “Questions of Transport: Reading Primo Levi Reading Dante.” </w:t>
      </w:r>
      <w:r w:rsidRPr="000D6351">
        <w:rPr>
          <w:i/>
        </w:rPr>
        <w:t>The Georgia</w:t>
      </w:r>
    </w:p>
    <w:p w:rsidR="00FF0598" w:rsidRPr="000D6351" w:rsidRDefault="00FF0598" w:rsidP="002C4FD0">
      <w:pPr>
        <w:spacing w:after="0" w:line="240" w:lineRule="auto"/>
        <w:rPr>
          <w:i/>
        </w:rPr>
      </w:pPr>
    </w:p>
    <w:p w:rsidR="000D6351" w:rsidRDefault="000D6351" w:rsidP="002C4FD0">
      <w:pPr>
        <w:spacing w:line="240" w:lineRule="auto"/>
      </w:pPr>
      <w:r w:rsidRPr="000D6351">
        <w:rPr>
          <w:i/>
        </w:rPr>
        <w:tab/>
        <w:t>Review</w:t>
      </w:r>
      <w:r>
        <w:t xml:space="preserve">, vol. 64, no. 1, 2010, pp. 69-88. </w:t>
      </w:r>
      <w:proofErr w:type="gramStart"/>
      <w:r w:rsidRPr="000D6351">
        <w:rPr>
          <w:i/>
        </w:rPr>
        <w:t>JSTOR</w:t>
      </w:r>
      <w:r>
        <w:t>, wwwjstor.org/stable/41403188.</w:t>
      </w:r>
      <w:proofErr w:type="gramEnd"/>
    </w:p>
    <w:p w:rsidR="0099436F" w:rsidRDefault="000D6351" w:rsidP="002C4FD0">
      <w:pPr>
        <w:spacing w:after="0" w:line="240" w:lineRule="auto"/>
      </w:pPr>
      <w:r>
        <w:rPr>
          <w:b/>
        </w:rPr>
        <w:t>Article on a Web site</w:t>
      </w:r>
      <w:r w:rsidR="00D86CEB">
        <w:rPr>
          <w:b/>
        </w:rPr>
        <w:t xml:space="preserve"> (</w:t>
      </w:r>
      <w:r>
        <w:rPr>
          <w:b/>
        </w:rPr>
        <w:t>28)</w:t>
      </w:r>
      <w:r>
        <w:t>:</w:t>
      </w:r>
    </w:p>
    <w:p w:rsidR="000D6351" w:rsidRPr="002C4FD0" w:rsidRDefault="000D6351" w:rsidP="002C4FD0">
      <w:pPr>
        <w:spacing w:line="240" w:lineRule="auto"/>
        <w:rPr>
          <w:i/>
        </w:rPr>
      </w:pPr>
      <w:proofErr w:type="spellStart"/>
      <w:r>
        <w:t>Hollmichel</w:t>
      </w:r>
      <w:proofErr w:type="spellEnd"/>
      <w:r>
        <w:t xml:space="preserve">, Stefanie. “The Reading Brain: Differences between Digital and Print.” </w:t>
      </w:r>
      <w:r w:rsidRPr="002C4FD0">
        <w:rPr>
          <w:i/>
        </w:rPr>
        <w:t>So Many</w:t>
      </w:r>
    </w:p>
    <w:p w:rsidR="000D6351" w:rsidRDefault="000D6351" w:rsidP="002C4FD0">
      <w:pPr>
        <w:spacing w:line="240" w:lineRule="auto"/>
      </w:pPr>
      <w:r w:rsidRPr="002C4FD0">
        <w:rPr>
          <w:i/>
        </w:rPr>
        <w:tab/>
        <w:t>Books</w:t>
      </w:r>
      <w:r>
        <w:t>, 25 Apr. 2013, somanybooksblog.com/2013/04/25/the-reading-brain-differences-</w:t>
      </w:r>
    </w:p>
    <w:p w:rsidR="000D6351" w:rsidRDefault="000D6351" w:rsidP="002C4FD0">
      <w:pPr>
        <w:spacing w:line="240" w:lineRule="auto"/>
      </w:pPr>
      <w:r>
        <w:tab/>
      </w:r>
      <w:proofErr w:type="gramStart"/>
      <w:r>
        <w:t>between-digital-and-print</w:t>
      </w:r>
      <w:proofErr w:type="gramEnd"/>
      <w:r>
        <w:t>/.</w:t>
      </w:r>
    </w:p>
    <w:p w:rsidR="002C4FD0" w:rsidRDefault="002C4FD0" w:rsidP="002C4FD0">
      <w:pPr>
        <w:spacing w:after="0" w:line="240" w:lineRule="auto"/>
        <w:rPr>
          <w:b/>
        </w:rPr>
      </w:pPr>
      <w:r>
        <w:rPr>
          <w:b/>
        </w:rPr>
        <w:t>Article with a DOI number</w:t>
      </w:r>
      <w:r w:rsidR="00D86CEB">
        <w:rPr>
          <w:b/>
        </w:rPr>
        <w:t xml:space="preserve"> (</w:t>
      </w:r>
      <w:r>
        <w:rPr>
          <w:b/>
        </w:rPr>
        <w:t>48)</w:t>
      </w:r>
      <w:r w:rsidRPr="00AC23EE">
        <w:t>:</w:t>
      </w:r>
    </w:p>
    <w:p w:rsidR="002C4FD0" w:rsidRDefault="002C4FD0" w:rsidP="002C4FD0">
      <w:pPr>
        <w:spacing w:line="240" w:lineRule="auto"/>
      </w:pPr>
      <w:r w:rsidRPr="00AC23EE">
        <w:t xml:space="preserve">Chan, Evans. </w:t>
      </w:r>
      <w:proofErr w:type="gramStart"/>
      <w:r w:rsidRPr="00AC23EE">
        <w:t>“Postmodernism and Hong Kong Cinema</w:t>
      </w:r>
      <w:r>
        <w:t>.”</w:t>
      </w:r>
      <w:proofErr w:type="gramEnd"/>
      <w:r>
        <w:t xml:space="preserve"> </w:t>
      </w:r>
      <w:r w:rsidRPr="002C4FD0">
        <w:rPr>
          <w:i/>
        </w:rPr>
        <w:t>Postmodern Culture</w:t>
      </w:r>
      <w:r>
        <w:t>, vol. 10, no. 3,</w:t>
      </w:r>
    </w:p>
    <w:p w:rsidR="002C4FD0" w:rsidRPr="00AC23EE" w:rsidRDefault="002C4FD0" w:rsidP="002C4FD0">
      <w:pPr>
        <w:spacing w:line="240" w:lineRule="auto"/>
      </w:pPr>
      <w:r>
        <w:tab/>
        <w:t xml:space="preserve">May 2000. </w:t>
      </w:r>
      <w:r w:rsidRPr="00AC23EE">
        <w:rPr>
          <w:i/>
        </w:rPr>
        <w:t>Project Muse</w:t>
      </w:r>
      <w:r>
        <w:t xml:space="preserve">, </w:t>
      </w:r>
      <w:proofErr w:type="spellStart"/>
      <w:r>
        <w:t>doi</w:t>
      </w:r>
      <w:proofErr w:type="spellEnd"/>
      <w:r>
        <w:t>: 10/1353/pmc.2000.0021.</w:t>
      </w:r>
    </w:p>
    <w:p w:rsidR="000D6351" w:rsidRDefault="00D86CEB" w:rsidP="002C4FD0">
      <w:pPr>
        <w:spacing w:after="0" w:line="240" w:lineRule="auto"/>
      </w:pPr>
      <w:r>
        <w:rPr>
          <w:b/>
        </w:rPr>
        <w:t>E-mail (</w:t>
      </w:r>
      <w:r w:rsidR="000D6351" w:rsidRPr="000D6351">
        <w:rPr>
          <w:b/>
        </w:rPr>
        <w:t>29)</w:t>
      </w:r>
      <w:r w:rsidR="000D6351">
        <w:t>:</w:t>
      </w:r>
    </w:p>
    <w:p w:rsidR="000D6351" w:rsidRDefault="000D6351" w:rsidP="002C4FD0">
      <w:pPr>
        <w:spacing w:line="240" w:lineRule="auto"/>
      </w:pPr>
      <w:r>
        <w:t xml:space="preserve">Boyle, Anthony T. “Re: Utopia.” </w:t>
      </w:r>
      <w:proofErr w:type="gramStart"/>
      <w:r>
        <w:t>Received by Daniel J. Cahill, 21 June 1997.</w:t>
      </w:r>
      <w:proofErr w:type="gramEnd"/>
    </w:p>
    <w:p w:rsidR="000D6351" w:rsidRPr="00531BDF" w:rsidRDefault="000D6351" w:rsidP="002C4FD0">
      <w:pPr>
        <w:spacing w:after="0" w:line="240" w:lineRule="auto"/>
        <w:rPr>
          <w:b/>
        </w:rPr>
      </w:pPr>
      <w:r w:rsidRPr="00531BDF">
        <w:rPr>
          <w:b/>
        </w:rPr>
        <w:t xml:space="preserve">TV </w:t>
      </w:r>
      <w:proofErr w:type="gramStart"/>
      <w:r w:rsidR="00D86CEB">
        <w:rPr>
          <w:b/>
        </w:rPr>
        <w:t>show</w:t>
      </w:r>
      <w:proofErr w:type="gramEnd"/>
      <w:r w:rsidR="00D86CEB">
        <w:rPr>
          <w:b/>
        </w:rPr>
        <w:t xml:space="preserve"> (</w:t>
      </w:r>
      <w:r w:rsidRPr="00531BDF">
        <w:rPr>
          <w:b/>
        </w:rPr>
        <w:t>30)</w:t>
      </w:r>
      <w:r w:rsidRPr="00531BDF">
        <w:t>:</w:t>
      </w:r>
    </w:p>
    <w:p w:rsidR="000D6351" w:rsidRDefault="000D6351" w:rsidP="002C4FD0">
      <w:pPr>
        <w:spacing w:line="240" w:lineRule="auto"/>
      </w:pPr>
      <w:r>
        <w:t xml:space="preserve">“Hush.” </w:t>
      </w:r>
      <w:r w:rsidRPr="000D6351">
        <w:rPr>
          <w:i/>
        </w:rPr>
        <w:t>Buffy the Vampire Slayer</w:t>
      </w:r>
      <w:r>
        <w:t xml:space="preserve">, created by Joss </w:t>
      </w:r>
      <w:proofErr w:type="spellStart"/>
      <w:r>
        <w:t>Whedon</w:t>
      </w:r>
      <w:proofErr w:type="spellEnd"/>
      <w:r>
        <w:t>, performance by Sarah Michelle</w:t>
      </w:r>
    </w:p>
    <w:p w:rsidR="000D6351" w:rsidRPr="000D6351" w:rsidRDefault="000D6351" w:rsidP="002C4FD0">
      <w:pPr>
        <w:spacing w:line="240" w:lineRule="auto"/>
      </w:pPr>
      <w:r>
        <w:tab/>
      </w:r>
      <w:proofErr w:type="gramStart"/>
      <w:r>
        <w:t>Gellar, season 4, episode 10, Mutant Enemy, 1999.</w:t>
      </w:r>
      <w:proofErr w:type="gramEnd"/>
    </w:p>
    <w:p w:rsidR="00AC23EE" w:rsidRPr="00AC23EE" w:rsidRDefault="00AC23EE" w:rsidP="002C4FD0">
      <w:pPr>
        <w:spacing w:after="0" w:line="240" w:lineRule="auto"/>
        <w:rPr>
          <w:b/>
        </w:rPr>
      </w:pPr>
      <w:r w:rsidRPr="00AC23EE">
        <w:rPr>
          <w:b/>
        </w:rPr>
        <w:t>Conference paper or public lecture</w:t>
      </w:r>
      <w:r w:rsidR="00D86CEB">
        <w:rPr>
          <w:b/>
        </w:rPr>
        <w:t xml:space="preserve"> (</w:t>
      </w:r>
      <w:r w:rsidRPr="00AC23EE">
        <w:rPr>
          <w:b/>
        </w:rPr>
        <w:t>52)</w:t>
      </w:r>
      <w:r w:rsidRPr="00AC23EE">
        <w:t>:</w:t>
      </w:r>
    </w:p>
    <w:p w:rsidR="00AC23EE" w:rsidRDefault="00AC23EE" w:rsidP="002C4FD0">
      <w:pPr>
        <w:spacing w:line="240" w:lineRule="auto"/>
      </w:pPr>
      <w:r>
        <w:t xml:space="preserve">Atwood, Margaret. </w:t>
      </w:r>
      <w:proofErr w:type="gramStart"/>
      <w:r>
        <w:t>“Silencing the Scream.”</w:t>
      </w:r>
      <w:proofErr w:type="gramEnd"/>
      <w:r>
        <w:t xml:space="preserve"> </w:t>
      </w:r>
      <w:proofErr w:type="gramStart"/>
      <w:r>
        <w:t>Boundaries of the Imagination Forum.</w:t>
      </w:r>
      <w:proofErr w:type="gramEnd"/>
      <w:r>
        <w:t xml:space="preserve"> MLA</w:t>
      </w:r>
    </w:p>
    <w:p w:rsidR="00AC23EE" w:rsidRDefault="00AC23EE" w:rsidP="002C4FD0">
      <w:pPr>
        <w:spacing w:line="240" w:lineRule="auto"/>
      </w:pPr>
      <w:r>
        <w:tab/>
      </w:r>
      <w:proofErr w:type="gramStart"/>
      <w:r>
        <w:t>Annual Convention, 29 Dec. 1993, Royal York Hotel, Toronto.</w:t>
      </w:r>
      <w:proofErr w:type="gramEnd"/>
      <w:r>
        <w:t xml:space="preserve"> </w:t>
      </w:r>
      <w:proofErr w:type="gramStart"/>
      <w:r>
        <w:t>Address.</w:t>
      </w:r>
      <w:proofErr w:type="gramEnd"/>
    </w:p>
    <w:p w:rsidR="00101B3B" w:rsidRDefault="00D86CEB" w:rsidP="002C4FD0">
      <w:pPr>
        <w:spacing w:after="0" w:line="240" w:lineRule="auto"/>
      </w:pPr>
      <w:r>
        <w:rPr>
          <w:b/>
        </w:rPr>
        <w:t>Introduction or preface (</w:t>
      </w:r>
      <w:r w:rsidR="00101B3B" w:rsidRPr="00413C9E">
        <w:rPr>
          <w:b/>
        </w:rPr>
        <w:t>106)</w:t>
      </w:r>
      <w:r w:rsidR="00101B3B">
        <w:t>:</w:t>
      </w:r>
    </w:p>
    <w:p w:rsidR="00101B3B" w:rsidRDefault="00101B3B" w:rsidP="002C4FD0">
      <w:pPr>
        <w:spacing w:line="240" w:lineRule="auto"/>
      </w:pPr>
      <w:proofErr w:type="spellStart"/>
      <w:r>
        <w:t>Felstiner</w:t>
      </w:r>
      <w:proofErr w:type="spellEnd"/>
      <w:r>
        <w:t xml:space="preserve">, John. </w:t>
      </w:r>
      <w:proofErr w:type="gramStart"/>
      <w:r>
        <w:t>Preface.</w:t>
      </w:r>
      <w:proofErr w:type="gramEnd"/>
      <w:r>
        <w:t xml:space="preserve"> </w:t>
      </w:r>
      <w:r w:rsidRPr="00101B3B">
        <w:rPr>
          <w:i/>
        </w:rPr>
        <w:t xml:space="preserve">Selected Poems and Prose of Paul </w:t>
      </w:r>
      <w:proofErr w:type="spellStart"/>
      <w:r w:rsidRPr="00101B3B">
        <w:rPr>
          <w:i/>
        </w:rPr>
        <w:t>Celan</w:t>
      </w:r>
      <w:proofErr w:type="spellEnd"/>
      <w:r>
        <w:t xml:space="preserve">, by Paul </w:t>
      </w:r>
      <w:proofErr w:type="spellStart"/>
      <w:r>
        <w:t>Celan</w:t>
      </w:r>
      <w:proofErr w:type="spellEnd"/>
      <w:r>
        <w:t>, translated</w:t>
      </w:r>
    </w:p>
    <w:p w:rsidR="00101B3B" w:rsidRDefault="00101B3B" w:rsidP="002C4FD0">
      <w:pPr>
        <w:spacing w:line="240" w:lineRule="auto"/>
      </w:pPr>
      <w:r>
        <w:tab/>
      </w:r>
      <w:proofErr w:type="gramStart"/>
      <w:r w:rsidR="003969BC">
        <w:t>b</w:t>
      </w:r>
      <w:r>
        <w:t>y</w:t>
      </w:r>
      <w:proofErr w:type="gramEnd"/>
      <w:r>
        <w:t xml:space="preserve"> </w:t>
      </w:r>
      <w:proofErr w:type="spellStart"/>
      <w:r>
        <w:t>Felstiner</w:t>
      </w:r>
      <w:proofErr w:type="spellEnd"/>
      <w:r>
        <w:t>. W. W. Norton, 2001, pp. xix-xxxvi.</w:t>
      </w:r>
    </w:p>
    <w:p w:rsidR="00AA4545" w:rsidRDefault="00AA4545" w:rsidP="002C4FD0">
      <w:pPr>
        <w:spacing w:after="0" w:line="240" w:lineRule="auto"/>
      </w:pPr>
      <w:r w:rsidRPr="002C4FD0">
        <w:rPr>
          <w:b/>
        </w:rPr>
        <w:t>Cross-re</w:t>
      </w:r>
      <w:r w:rsidR="00D86CEB">
        <w:rPr>
          <w:b/>
        </w:rPr>
        <w:t>ferenced text (</w:t>
      </w:r>
      <w:r w:rsidRPr="002C4FD0">
        <w:rPr>
          <w:b/>
        </w:rPr>
        <w:t>115)</w:t>
      </w:r>
      <w:r>
        <w:t>:</w:t>
      </w:r>
    </w:p>
    <w:p w:rsidR="00AA4545" w:rsidRDefault="00AA4545" w:rsidP="002C4FD0">
      <w:pPr>
        <w:spacing w:line="240" w:lineRule="auto"/>
      </w:pPr>
      <w:r>
        <w:t xml:space="preserve">Agee, James. “Knoxville: Summer of 1915.” Oates and </w:t>
      </w:r>
      <w:proofErr w:type="spellStart"/>
      <w:r>
        <w:t>Atwan</w:t>
      </w:r>
      <w:proofErr w:type="spellEnd"/>
      <w:r>
        <w:t>, pp. 171-75.</w:t>
      </w:r>
    </w:p>
    <w:p w:rsidR="005977ED" w:rsidRDefault="005977ED">
      <w:pPr>
        <w:rPr>
          <w:b/>
        </w:rPr>
      </w:pPr>
    </w:p>
    <w:p w:rsidR="0099436F" w:rsidRPr="00DE61C9" w:rsidRDefault="0099436F" w:rsidP="005977ED">
      <w:pPr>
        <w:spacing w:line="240" w:lineRule="auto"/>
        <w:rPr>
          <w:sz w:val="22"/>
        </w:rPr>
      </w:pPr>
      <w:r w:rsidRPr="00DE61C9">
        <w:rPr>
          <w:b/>
          <w:sz w:val="22"/>
        </w:rPr>
        <w:lastRenderedPageBreak/>
        <w:t>Notes</w:t>
      </w:r>
      <w:r w:rsidRPr="00DE61C9">
        <w:rPr>
          <w:sz w:val="22"/>
        </w:rPr>
        <w:t>:</w:t>
      </w:r>
    </w:p>
    <w:p w:rsidR="007B79CF" w:rsidRPr="00DE61C9" w:rsidRDefault="00AA4545" w:rsidP="00735598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>Works Cited (2 or more sources)</w:t>
      </w:r>
      <w:r w:rsidR="005977ED" w:rsidRPr="00DE61C9">
        <w:rPr>
          <w:sz w:val="22"/>
        </w:rPr>
        <w:t xml:space="preserve"> vs.</w:t>
      </w:r>
      <w:r w:rsidRPr="00DE61C9">
        <w:rPr>
          <w:sz w:val="22"/>
        </w:rPr>
        <w:t xml:space="preserve"> Work Cited (1 source)</w:t>
      </w:r>
      <w:r w:rsidR="005977ED" w:rsidRPr="00DE61C9">
        <w:rPr>
          <w:sz w:val="22"/>
        </w:rPr>
        <w:t xml:space="preserve"> vs. works-cited list.</w:t>
      </w:r>
      <w:r w:rsidR="00735598" w:rsidRPr="00DE61C9">
        <w:rPr>
          <w:sz w:val="22"/>
        </w:rPr>
        <w:t xml:space="preserve"> </w:t>
      </w:r>
    </w:p>
    <w:p w:rsidR="00136CBC" w:rsidRPr="00DE61C9" w:rsidRDefault="00136CBC" w:rsidP="00136CBC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>For journal articles, include month or season before the year if this information is available (21).</w:t>
      </w:r>
    </w:p>
    <w:p w:rsidR="00056FC4" w:rsidRPr="00DE61C9" w:rsidRDefault="00056FC4" w:rsidP="00056FC4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>Use et al. for three or more authors and for two or more editors (22-23).</w:t>
      </w:r>
    </w:p>
    <w:p w:rsidR="00136CBC" w:rsidRPr="00DE61C9" w:rsidRDefault="00136CBC" w:rsidP="00136CBC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>“When a work is published by an organization that is also its author, begin the entry with the title, skipping the author element, and list the organization only as publisher” (25).</w:t>
      </w:r>
    </w:p>
    <w:p w:rsidR="007B79CF" w:rsidRPr="00DE61C9" w:rsidRDefault="007B79CF" w:rsidP="007B79CF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>Spelling: Web site (28).</w:t>
      </w:r>
    </w:p>
    <w:p w:rsidR="0099436F" w:rsidRPr="00DE61C9" w:rsidRDefault="0099436F" w:rsidP="00056FC4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>Spell out “editor” “translator,” “edited by,” “translated by</w:t>
      </w:r>
      <w:r w:rsidR="003969BC" w:rsidRPr="00DE61C9">
        <w:rPr>
          <w:sz w:val="22"/>
        </w:rPr>
        <w:t>,</w:t>
      </w:r>
      <w:r w:rsidRPr="00DE61C9">
        <w:rPr>
          <w:sz w:val="22"/>
        </w:rPr>
        <w:t>”</w:t>
      </w:r>
      <w:r w:rsidR="003969BC" w:rsidRPr="00DE61C9">
        <w:rPr>
          <w:sz w:val="22"/>
        </w:rPr>
        <w:t xml:space="preserve"> etc.</w:t>
      </w:r>
      <w:r w:rsidR="005977ED" w:rsidRPr="00DE61C9">
        <w:rPr>
          <w:sz w:val="22"/>
        </w:rPr>
        <w:t xml:space="preserve"> </w:t>
      </w:r>
      <w:r w:rsidR="00735598" w:rsidRPr="00DE61C9">
        <w:rPr>
          <w:sz w:val="22"/>
        </w:rPr>
        <w:t xml:space="preserve">(37). </w:t>
      </w:r>
      <w:r w:rsidR="005977ED" w:rsidRPr="00DE61C9">
        <w:rPr>
          <w:sz w:val="22"/>
        </w:rPr>
        <w:t xml:space="preserve">Abbreviate “edition”: </w:t>
      </w:r>
      <w:proofErr w:type="gramStart"/>
      <w:r w:rsidR="005977ED" w:rsidRPr="00DE61C9">
        <w:rPr>
          <w:sz w:val="22"/>
        </w:rPr>
        <w:t>ed</w:t>
      </w:r>
      <w:proofErr w:type="gramEnd"/>
      <w:r w:rsidR="005977ED" w:rsidRPr="00DE61C9">
        <w:rPr>
          <w:sz w:val="22"/>
        </w:rPr>
        <w:t>.</w:t>
      </w:r>
    </w:p>
    <w:p w:rsidR="00136CBC" w:rsidRPr="00DE61C9" w:rsidRDefault="00136CBC" w:rsidP="00136CBC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 xml:space="preserve">It is not necessary to include place of publication except for clarity when listing pre-1900 books (51). </w:t>
      </w:r>
    </w:p>
    <w:p w:rsidR="000D6351" w:rsidRPr="00DE61C9" w:rsidRDefault="00E77C38" w:rsidP="00056FC4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 xml:space="preserve">Include medium at </w:t>
      </w:r>
      <w:r w:rsidR="00056FC4" w:rsidRPr="00DE61C9">
        <w:rPr>
          <w:sz w:val="22"/>
        </w:rPr>
        <w:t xml:space="preserve">the </w:t>
      </w:r>
      <w:r w:rsidRPr="00DE61C9">
        <w:rPr>
          <w:sz w:val="22"/>
        </w:rPr>
        <w:t>end of</w:t>
      </w:r>
      <w:r w:rsidR="00056FC4" w:rsidRPr="00DE61C9">
        <w:rPr>
          <w:sz w:val="22"/>
        </w:rPr>
        <w:t xml:space="preserve"> an</w:t>
      </w:r>
      <w:r w:rsidRPr="00DE61C9">
        <w:rPr>
          <w:sz w:val="22"/>
        </w:rPr>
        <w:t xml:space="preserve"> entry only for “an unexpected type of work” (52).</w:t>
      </w:r>
    </w:p>
    <w:p w:rsidR="00AC23EE" w:rsidRPr="00DE61C9" w:rsidRDefault="00AC23EE" w:rsidP="00056FC4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 xml:space="preserve">For a reprinted article, </w:t>
      </w:r>
      <w:r w:rsidR="004F7291" w:rsidRPr="00DE61C9">
        <w:rPr>
          <w:sz w:val="22"/>
        </w:rPr>
        <w:t xml:space="preserve">you may </w:t>
      </w:r>
      <w:r w:rsidRPr="00DE61C9">
        <w:rPr>
          <w:sz w:val="22"/>
        </w:rPr>
        <w:t xml:space="preserve">add to the end of the entry: Originally published in </w:t>
      </w:r>
      <w:r w:rsidRPr="00DE61C9">
        <w:rPr>
          <w:i/>
          <w:sz w:val="22"/>
        </w:rPr>
        <w:t>Journal</w:t>
      </w:r>
      <w:r w:rsidRPr="00DE61C9">
        <w:rPr>
          <w:sz w:val="22"/>
        </w:rPr>
        <w:t>, vol., no</w:t>
      </w:r>
      <w:r w:rsidR="00D86CEB" w:rsidRPr="00DE61C9">
        <w:rPr>
          <w:sz w:val="22"/>
        </w:rPr>
        <w:t>.</w:t>
      </w:r>
      <w:r w:rsidRPr="00DE61C9">
        <w:rPr>
          <w:sz w:val="22"/>
        </w:rPr>
        <w:t>, year, pp.</w:t>
      </w:r>
      <w:r w:rsidR="00735598" w:rsidRPr="00DE61C9">
        <w:rPr>
          <w:sz w:val="22"/>
        </w:rPr>
        <w:t xml:space="preserve"> (53).</w:t>
      </w:r>
    </w:p>
    <w:p w:rsidR="00AC23EE" w:rsidRPr="00DE61C9" w:rsidRDefault="00AC23EE" w:rsidP="00056FC4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>Access date is optional and comes at the end of the entry</w:t>
      </w:r>
      <w:r w:rsidR="00735598" w:rsidRPr="00DE61C9">
        <w:rPr>
          <w:sz w:val="22"/>
        </w:rPr>
        <w:t xml:space="preserve"> (53): Accessed 23 July 2013.</w:t>
      </w:r>
    </w:p>
    <w:p w:rsidR="004F7291" w:rsidRPr="00DE61C9" w:rsidRDefault="004F7291" w:rsidP="00056FC4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>For literary works, it is helpful to give a citation that will help readers who have another edition</w:t>
      </w:r>
      <w:r w:rsidR="00136CBC" w:rsidRPr="00DE61C9">
        <w:rPr>
          <w:sz w:val="22"/>
        </w:rPr>
        <w:t xml:space="preserve"> (57)</w:t>
      </w:r>
      <w:r w:rsidRPr="00DE61C9">
        <w:rPr>
          <w:sz w:val="22"/>
        </w:rPr>
        <w:t xml:space="preserve">: (533; vol. 3, </w:t>
      </w:r>
      <w:proofErr w:type="spellStart"/>
      <w:r w:rsidRPr="00DE61C9">
        <w:rPr>
          <w:sz w:val="22"/>
        </w:rPr>
        <w:t>ch.</w:t>
      </w:r>
      <w:proofErr w:type="spellEnd"/>
      <w:r w:rsidRPr="00DE61C9">
        <w:rPr>
          <w:sz w:val="22"/>
        </w:rPr>
        <w:t xml:space="preserve"> 17).</w:t>
      </w:r>
    </w:p>
    <w:p w:rsidR="00136CBC" w:rsidRPr="00DE61C9" w:rsidRDefault="00136CBC" w:rsidP="00056FC4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>“If you draw repeatedly from a source without referring to another one, you can often wait to provide the citations until you’re done using the source in your text” (76).</w:t>
      </w:r>
    </w:p>
    <w:p w:rsidR="00742284" w:rsidRPr="00DE61C9" w:rsidRDefault="007B79CF" w:rsidP="00056FC4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>Quotations</w:t>
      </w:r>
      <w:r w:rsidR="00742284" w:rsidRPr="00DE61C9">
        <w:rPr>
          <w:sz w:val="22"/>
        </w:rPr>
        <w:t xml:space="preserve">: </w:t>
      </w:r>
      <w:r w:rsidR="00735598" w:rsidRPr="00DE61C9">
        <w:rPr>
          <w:sz w:val="22"/>
        </w:rPr>
        <w:t xml:space="preserve">In a </w:t>
      </w:r>
      <w:r w:rsidRPr="00DE61C9">
        <w:rPr>
          <w:sz w:val="22"/>
        </w:rPr>
        <w:t xml:space="preserve">verse </w:t>
      </w:r>
      <w:r w:rsidR="00735598" w:rsidRPr="00DE61C9">
        <w:rPr>
          <w:sz w:val="22"/>
        </w:rPr>
        <w:t xml:space="preserve">quotation that is not set off, </w:t>
      </w:r>
      <w:proofErr w:type="gramStart"/>
      <w:r w:rsidR="00735598" w:rsidRPr="00DE61C9">
        <w:rPr>
          <w:sz w:val="22"/>
        </w:rPr>
        <w:t>u</w:t>
      </w:r>
      <w:r w:rsidR="00742284" w:rsidRPr="00DE61C9">
        <w:rPr>
          <w:sz w:val="22"/>
        </w:rPr>
        <w:t xml:space="preserve">se  </w:t>
      </w:r>
      <w:r w:rsidR="00735598" w:rsidRPr="00DE61C9">
        <w:rPr>
          <w:sz w:val="22"/>
        </w:rPr>
        <w:t>/</w:t>
      </w:r>
      <w:proofErr w:type="gramEnd"/>
      <w:r w:rsidR="00735598" w:rsidRPr="00DE61C9">
        <w:rPr>
          <w:sz w:val="22"/>
        </w:rPr>
        <w:t xml:space="preserve"> to mark line breaks and </w:t>
      </w:r>
      <w:r w:rsidR="00742284" w:rsidRPr="00DE61C9">
        <w:rPr>
          <w:sz w:val="22"/>
        </w:rPr>
        <w:t xml:space="preserve">// to mark </w:t>
      </w:r>
      <w:r w:rsidR="00F36FA9" w:rsidRPr="00DE61C9">
        <w:rPr>
          <w:sz w:val="22"/>
        </w:rPr>
        <w:t>a stanza break</w:t>
      </w:r>
      <w:r w:rsidRPr="00DE61C9">
        <w:rPr>
          <w:sz w:val="22"/>
        </w:rPr>
        <w:t xml:space="preserve">. </w:t>
      </w:r>
      <w:r w:rsidR="00F36FA9" w:rsidRPr="00DE61C9">
        <w:rPr>
          <w:sz w:val="22"/>
        </w:rPr>
        <w:t xml:space="preserve">Block quotations </w:t>
      </w:r>
      <w:r w:rsidRPr="00DE61C9">
        <w:rPr>
          <w:sz w:val="22"/>
        </w:rPr>
        <w:t xml:space="preserve">of poetry or prose </w:t>
      </w:r>
      <w:r w:rsidR="00F36FA9" w:rsidRPr="00DE61C9">
        <w:rPr>
          <w:sz w:val="22"/>
        </w:rPr>
        <w:t>are indented one half inch</w:t>
      </w:r>
      <w:r w:rsidR="00D86CEB" w:rsidRPr="00DE61C9">
        <w:rPr>
          <w:sz w:val="22"/>
        </w:rPr>
        <w:t xml:space="preserve"> (</w:t>
      </w:r>
      <w:r w:rsidR="00101B3B" w:rsidRPr="00DE61C9">
        <w:rPr>
          <w:sz w:val="22"/>
        </w:rPr>
        <w:t xml:space="preserve">76, </w:t>
      </w:r>
      <w:r w:rsidR="00F36FA9" w:rsidRPr="00DE61C9">
        <w:rPr>
          <w:sz w:val="22"/>
        </w:rPr>
        <w:t>78).</w:t>
      </w:r>
      <w:r w:rsidRPr="00DE61C9">
        <w:rPr>
          <w:sz w:val="22"/>
        </w:rPr>
        <w:t xml:space="preserve"> Set off prose quotation</w:t>
      </w:r>
      <w:r w:rsidR="00136CBC" w:rsidRPr="00DE61C9">
        <w:rPr>
          <w:sz w:val="22"/>
        </w:rPr>
        <w:t>s</w:t>
      </w:r>
      <w:r w:rsidRPr="00DE61C9">
        <w:rPr>
          <w:sz w:val="22"/>
        </w:rPr>
        <w:t xml:space="preserve"> of more than four lines and verse quotations of more than three lines.</w:t>
      </w:r>
    </w:p>
    <w:p w:rsidR="00F36FA9" w:rsidRPr="00DE61C9" w:rsidRDefault="00F36FA9" w:rsidP="00056FC4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>When quoting drama, include character names</w:t>
      </w:r>
      <w:r w:rsidR="00D86CEB" w:rsidRPr="00DE61C9">
        <w:rPr>
          <w:sz w:val="22"/>
        </w:rPr>
        <w:t xml:space="preserve"> (</w:t>
      </w:r>
      <w:r w:rsidRPr="00DE61C9">
        <w:rPr>
          <w:sz w:val="22"/>
        </w:rPr>
        <w:t>80).</w:t>
      </w:r>
    </w:p>
    <w:p w:rsidR="00101B3B" w:rsidRPr="00DE61C9" w:rsidRDefault="00101B3B" w:rsidP="00056FC4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 xml:space="preserve">Don’t use </w:t>
      </w:r>
      <w:r w:rsidR="00136CBC" w:rsidRPr="00DE61C9">
        <w:rPr>
          <w:sz w:val="22"/>
        </w:rPr>
        <w:t>“</w:t>
      </w:r>
      <w:proofErr w:type="gramStart"/>
      <w:r w:rsidRPr="00DE61C9">
        <w:rPr>
          <w:sz w:val="22"/>
        </w:rPr>
        <w:t>[ .</w:t>
      </w:r>
      <w:proofErr w:type="gramEnd"/>
      <w:r w:rsidRPr="00DE61C9">
        <w:rPr>
          <w:sz w:val="22"/>
        </w:rPr>
        <w:t xml:space="preserve"> . . ]</w:t>
      </w:r>
      <w:r w:rsidR="00136CBC" w:rsidRPr="00DE61C9">
        <w:rPr>
          <w:sz w:val="22"/>
        </w:rPr>
        <w:t>”</w:t>
      </w:r>
      <w:r w:rsidRPr="00DE61C9">
        <w:rPr>
          <w:sz w:val="22"/>
        </w:rPr>
        <w:t xml:space="preserve"> unless you are inserting an ellipsis into a quotation that already has an </w:t>
      </w:r>
      <w:r w:rsidR="00FF0598" w:rsidRPr="00DE61C9">
        <w:rPr>
          <w:sz w:val="22"/>
        </w:rPr>
        <w:t>one</w:t>
      </w:r>
      <w:r w:rsidRPr="00DE61C9">
        <w:rPr>
          <w:sz w:val="22"/>
        </w:rPr>
        <w:t xml:space="preserve">. Alternative: (29; </w:t>
      </w:r>
      <w:r w:rsidR="005460CB" w:rsidRPr="00DE61C9">
        <w:rPr>
          <w:sz w:val="22"/>
        </w:rPr>
        <w:t>1st</w:t>
      </w:r>
      <w:r w:rsidRPr="00DE61C9">
        <w:rPr>
          <w:sz w:val="22"/>
        </w:rPr>
        <w:t xml:space="preserve"> ellipsis in original)</w:t>
      </w:r>
      <w:r w:rsidR="00D86CEB" w:rsidRPr="00DE61C9">
        <w:rPr>
          <w:sz w:val="22"/>
        </w:rPr>
        <w:t xml:space="preserve"> (</w:t>
      </w:r>
      <w:r w:rsidRPr="00DE61C9">
        <w:rPr>
          <w:sz w:val="22"/>
        </w:rPr>
        <w:t>85).</w:t>
      </w:r>
    </w:p>
    <w:p w:rsidR="00CF7AB3" w:rsidRPr="00DE61C9" w:rsidRDefault="00CF7AB3" w:rsidP="00CF7AB3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>“Sic” is considered an English word (no italics) (86).</w:t>
      </w:r>
    </w:p>
    <w:p w:rsidR="005977ED" w:rsidRPr="00FF3DCE" w:rsidRDefault="00101B3B" w:rsidP="00136CBC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FF3DCE">
        <w:rPr>
          <w:sz w:val="22"/>
        </w:rPr>
        <w:t xml:space="preserve">Numbers: 2-3, 10-12, 21-48, 89-99, 96-101, 103-04, 395-401, </w:t>
      </w:r>
      <w:r w:rsidR="005977ED" w:rsidRPr="00FF3DCE">
        <w:rPr>
          <w:sz w:val="22"/>
        </w:rPr>
        <w:t xml:space="preserve">923-1,003, 1,003-05, 1,608-744. Dates: </w:t>
      </w:r>
      <w:r w:rsidR="00D86CEB" w:rsidRPr="00FF3DCE">
        <w:rPr>
          <w:sz w:val="22"/>
        </w:rPr>
        <w:t>2000-03, 1893-1901</w:t>
      </w:r>
      <w:r w:rsidR="007B79CF" w:rsidRPr="00FF3DCE">
        <w:rPr>
          <w:sz w:val="22"/>
        </w:rPr>
        <w:t>. “Commas are not used in page and line numbers</w:t>
      </w:r>
      <w:r w:rsidR="00FF3DCE" w:rsidRPr="00FF3DCE">
        <w:rPr>
          <w:sz w:val="22"/>
        </w:rPr>
        <w:t xml:space="preserve"> </w:t>
      </w:r>
      <w:r w:rsidR="007B79CF" w:rsidRPr="00FF3DCE">
        <w:rPr>
          <w:sz w:val="22"/>
        </w:rPr>
        <w:t>. . .”</w:t>
      </w:r>
      <w:r w:rsidR="00D86CEB" w:rsidRPr="00FF3DCE">
        <w:rPr>
          <w:sz w:val="22"/>
        </w:rPr>
        <w:t xml:space="preserve"> (</w:t>
      </w:r>
      <w:r w:rsidR="005977ED" w:rsidRPr="00FF3DCE">
        <w:rPr>
          <w:sz w:val="22"/>
        </w:rPr>
        <w:t>93).</w:t>
      </w:r>
      <w:r w:rsidR="007B79CF" w:rsidRPr="00FF3DCE">
        <w:rPr>
          <w:sz w:val="22"/>
        </w:rPr>
        <w:t xml:space="preserve"> </w:t>
      </w:r>
    </w:p>
    <w:p w:rsidR="00101B3B" w:rsidRPr="00DE61C9" w:rsidRDefault="00D86CEB" w:rsidP="00056FC4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 xml:space="preserve">Initials: </w:t>
      </w:r>
      <w:r w:rsidR="00F34BAB" w:rsidRPr="00DE61C9">
        <w:rPr>
          <w:sz w:val="22"/>
        </w:rPr>
        <w:t xml:space="preserve">JFK vs. </w:t>
      </w:r>
      <w:r w:rsidRPr="00DE61C9">
        <w:rPr>
          <w:sz w:val="22"/>
        </w:rPr>
        <w:t>J. R. R. Tolkien (</w:t>
      </w:r>
      <w:r w:rsidR="00101B3B" w:rsidRPr="00DE61C9">
        <w:rPr>
          <w:sz w:val="22"/>
        </w:rPr>
        <w:t>95).</w:t>
      </w:r>
    </w:p>
    <w:p w:rsidR="00CF7AB3" w:rsidRPr="00DE61C9" w:rsidRDefault="00CF7AB3" w:rsidP="00CF7AB3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>Publishers’ names: Abbreviate University Press and omit business words (97): Company, Corporation, Incorporated, Limited. “Otherwise, write publishers’ names in full” (97). Examples: HarperCollins Publishers (21); Penguin Press (41); Vintage Books (45); U of Chicago P (97); W. W. Norton (106); Chelsea House Publishers (120).</w:t>
      </w:r>
    </w:p>
    <w:p w:rsidR="00AA4545" w:rsidRPr="00DE61C9" w:rsidRDefault="00AA4545" w:rsidP="00056FC4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 xml:space="preserve">Abbreviate titles of Shakespeare’s plays in citations: </w:t>
      </w:r>
      <w:r w:rsidRPr="00DE61C9">
        <w:rPr>
          <w:i/>
          <w:sz w:val="22"/>
        </w:rPr>
        <w:t>Mac</w:t>
      </w:r>
      <w:r w:rsidRPr="00DE61C9">
        <w:rPr>
          <w:sz w:val="22"/>
        </w:rPr>
        <w:t xml:space="preserve">., </w:t>
      </w:r>
      <w:proofErr w:type="gramStart"/>
      <w:r w:rsidRPr="00DE61C9">
        <w:rPr>
          <w:i/>
          <w:sz w:val="22"/>
        </w:rPr>
        <w:t>Ham</w:t>
      </w:r>
      <w:r w:rsidR="00D86CEB" w:rsidRPr="00DE61C9">
        <w:rPr>
          <w:sz w:val="22"/>
        </w:rPr>
        <w:t>.,</w:t>
      </w:r>
      <w:proofErr w:type="gramEnd"/>
      <w:r w:rsidR="00D86CEB" w:rsidRPr="00DE61C9">
        <w:rPr>
          <w:sz w:val="22"/>
        </w:rPr>
        <w:t xml:space="preserve"> etc. (</w:t>
      </w:r>
      <w:r w:rsidRPr="00DE61C9">
        <w:rPr>
          <w:sz w:val="22"/>
        </w:rPr>
        <w:t>100-01).</w:t>
      </w:r>
      <w:r w:rsidR="00136CBC" w:rsidRPr="00DE61C9">
        <w:rPr>
          <w:sz w:val="22"/>
        </w:rPr>
        <w:t xml:space="preserve"> Example (118): </w:t>
      </w:r>
      <w:proofErr w:type="spellStart"/>
      <w:r w:rsidR="00136CBC" w:rsidRPr="00DE61C9">
        <w:rPr>
          <w:i/>
          <w:sz w:val="22"/>
        </w:rPr>
        <w:t>Oth</w:t>
      </w:r>
      <w:proofErr w:type="spellEnd"/>
      <w:r w:rsidR="00136CBC" w:rsidRPr="00DE61C9">
        <w:rPr>
          <w:sz w:val="22"/>
        </w:rPr>
        <w:t>. 4.2.7-13</w:t>
      </w:r>
      <w:r w:rsidR="00CF7AB3" w:rsidRPr="00DE61C9">
        <w:rPr>
          <w:sz w:val="22"/>
        </w:rPr>
        <w:t>.</w:t>
      </w:r>
    </w:p>
    <w:p w:rsidR="00136CBC" w:rsidRPr="00DE61C9" w:rsidRDefault="00136CBC" w:rsidP="00136CBC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 xml:space="preserve">Include URLs but not http:// (110). </w:t>
      </w:r>
    </w:p>
    <w:p w:rsidR="005A1DA4" w:rsidRPr="00DE61C9" w:rsidRDefault="00136CBC" w:rsidP="00136CBC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 xml:space="preserve"> </w:t>
      </w:r>
      <w:r w:rsidR="005A1DA4" w:rsidRPr="00DE61C9">
        <w:rPr>
          <w:sz w:val="22"/>
        </w:rPr>
        <w:t>“The first time you borrow from a particular work of scripture in your project, state in the text or in a parenthetical citation the element that begins the entr</w:t>
      </w:r>
      <w:r w:rsidR="005977ED" w:rsidRPr="00DE61C9">
        <w:rPr>
          <w:sz w:val="22"/>
        </w:rPr>
        <w:t>y in the w</w:t>
      </w:r>
      <w:r w:rsidR="00FF3DCE">
        <w:rPr>
          <w:sz w:val="22"/>
        </w:rPr>
        <w:t xml:space="preserve">orks-cited </w:t>
      </w:r>
      <w:r w:rsidR="00735598" w:rsidRPr="00DE61C9">
        <w:rPr>
          <w:sz w:val="22"/>
        </w:rPr>
        <w:t>list</w:t>
      </w:r>
      <w:r w:rsidR="005977ED" w:rsidRPr="00DE61C9">
        <w:rPr>
          <w:sz w:val="22"/>
        </w:rPr>
        <w:t xml:space="preserve"> . . .”</w:t>
      </w:r>
      <w:r w:rsidR="00D86CEB" w:rsidRPr="00DE61C9">
        <w:rPr>
          <w:sz w:val="22"/>
        </w:rPr>
        <w:t xml:space="preserve"> (</w:t>
      </w:r>
      <w:r w:rsidR="005977ED" w:rsidRPr="00DE61C9">
        <w:rPr>
          <w:sz w:val="22"/>
        </w:rPr>
        <w:t xml:space="preserve">122). </w:t>
      </w:r>
      <w:r w:rsidR="005A1DA4" w:rsidRPr="00DE61C9">
        <w:rPr>
          <w:sz w:val="22"/>
        </w:rPr>
        <w:t>Example: (</w:t>
      </w:r>
      <w:r w:rsidR="005A1DA4" w:rsidRPr="00DE61C9">
        <w:rPr>
          <w:i/>
          <w:sz w:val="22"/>
        </w:rPr>
        <w:t>New Jerusalem Bible</w:t>
      </w:r>
      <w:r w:rsidR="005A1DA4" w:rsidRPr="00DE61C9">
        <w:rPr>
          <w:sz w:val="22"/>
        </w:rPr>
        <w:t>, Ezek. 1.5-10).</w:t>
      </w:r>
    </w:p>
    <w:p w:rsidR="00AA4545" w:rsidRPr="00DE61C9" w:rsidRDefault="00AA4545" w:rsidP="00056FC4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DE61C9">
        <w:rPr>
          <w:sz w:val="22"/>
        </w:rPr>
        <w:t>“If you borrow more than once from the same source within a single paragraph and no other source intervenes, you may give a single parenthetical ref</w:t>
      </w:r>
      <w:r w:rsidR="00FF0598" w:rsidRPr="00DE61C9">
        <w:rPr>
          <w:sz w:val="22"/>
        </w:rPr>
        <w:t>erence after the last borrowing”</w:t>
      </w:r>
      <w:r w:rsidR="00D86CEB" w:rsidRPr="00DE61C9">
        <w:rPr>
          <w:sz w:val="22"/>
        </w:rPr>
        <w:t xml:space="preserve"> (</w:t>
      </w:r>
      <w:r w:rsidR="00FF0598" w:rsidRPr="00DE61C9">
        <w:rPr>
          <w:sz w:val="22"/>
        </w:rPr>
        <w:t>124).</w:t>
      </w:r>
    </w:p>
    <w:p w:rsidR="0099436F" w:rsidRPr="00DE61C9" w:rsidRDefault="0041140F" w:rsidP="00056FC4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 xml:space="preserve">According to the MLA’s Barney Latimer, </w:t>
      </w:r>
      <w:r w:rsidR="004F7291" w:rsidRPr="0041140F">
        <w:rPr>
          <w:sz w:val="22"/>
        </w:rPr>
        <w:t>(“</w:t>
      </w:r>
      <w:r w:rsidR="004F7291" w:rsidRPr="0041140F">
        <w:rPr>
          <w:i/>
          <w:sz w:val="22"/>
        </w:rPr>
        <w:t>Buffy</w:t>
      </w:r>
      <w:r w:rsidR="004F7291" w:rsidRPr="0041140F">
        <w:rPr>
          <w:sz w:val="22"/>
        </w:rPr>
        <w:t>”)</w:t>
      </w:r>
      <w:r w:rsidRPr="0041140F">
        <w:rPr>
          <w:sz w:val="22"/>
        </w:rPr>
        <w:t xml:space="preserve"> on page 57 refers to “</w:t>
      </w:r>
      <w:r w:rsidRPr="0041140F">
        <w:rPr>
          <w:i/>
          <w:sz w:val="22"/>
        </w:rPr>
        <w:t>Buffy the Vampire Slayer</w:t>
      </w:r>
      <w:r w:rsidRPr="0041140F">
        <w:rPr>
          <w:sz w:val="22"/>
        </w:rPr>
        <w:t xml:space="preserve">: Unaired Pilot 1996” on page 44. MLA is showing us </w:t>
      </w:r>
      <w:r>
        <w:rPr>
          <w:sz w:val="22"/>
        </w:rPr>
        <w:t xml:space="preserve">how a title fragment can sometimes be both </w:t>
      </w:r>
      <w:r w:rsidRPr="0041140F">
        <w:rPr>
          <w:sz w:val="22"/>
        </w:rPr>
        <w:t>in quotation marks and italicized.</w:t>
      </w:r>
    </w:p>
    <w:sectPr w:rsidR="0099436F" w:rsidRPr="00DE6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031B"/>
    <w:multiLevelType w:val="hybridMultilevel"/>
    <w:tmpl w:val="A296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D68D7"/>
    <w:multiLevelType w:val="hybridMultilevel"/>
    <w:tmpl w:val="9E2A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E0"/>
    <w:rsid w:val="00056FC4"/>
    <w:rsid w:val="000D6351"/>
    <w:rsid w:val="000F42D8"/>
    <w:rsid w:val="00101B3B"/>
    <w:rsid w:val="00136CBC"/>
    <w:rsid w:val="00144E23"/>
    <w:rsid w:val="001A1E6C"/>
    <w:rsid w:val="001E3542"/>
    <w:rsid w:val="002155BB"/>
    <w:rsid w:val="00246DE0"/>
    <w:rsid w:val="002C4FD0"/>
    <w:rsid w:val="003969BC"/>
    <w:rsid w:val="003B6EC7"/>
    <w:rsid w:val="0041140F"/>
    <w:rsid w:val="00413C9E"/>
    <w:rsid w:val="004F7291"/>
    <w:rsid w:val="00531BDF"/>
    <w:rsid w:val="005460CB"/>
    <w:rsid w:val="005977ED"/>
    <w:rsid w:val="005A1DA4"/>
    <w:rsid w:val="005B74A8"/>
    <w:rsid w:val="005F27CB"/>
    <w:rsid w:val="00735598"/>
    <w:rsid w:val="00742284"/>
    <w:rsid w:val="00755168"/>
    <w:rsid w:val="007574DA"/>
    <w:rsid w:val="00757FD8"/>
    <w:rsid w:val="007B79CF"/>
    <w:rsid w:val="00847945"/>
    <w:rsid w:val="009219A4"/>
    <w:rsid w:val="0099436F"/>
    <w:rsid w:val="00A560FA"/>
    <w:rsid w:val="00AA4545"/>
    <w:rsid w:val="00AC23EE"/>
    <w:rsid w:val="00B72F66"/>
    <w:rsid w:val="00C84094"/>
    <w:rsid w:val="00CF7AB3"/>
    <w:rsid w:val="00D86CEB"/>
    <w:rsid w:val="00D86D25"/>
    <w:rsid w:val="00DE61C9"/>
    <w:rsid w:val="00E145F4"/>
    <w:rsid w:val="00E77C38"/>
    <w:rsid w:val="00F34BAB"/>
    <w:rsid w:val="00F36FA9"/>
    <w:rsid w:val="00F401CF"/>
    <w:rsid w:val="00FF0598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Fike, Matthew A.</dc:creator>
  <cp:lastModifiedBy>Fike, Matthew A.</cp:lastModifiedBy>
  <cp:revision>3</cp:revision>
  <cp:lastPrinted>2016-04-21T20:31:00Z</cp:lastPrinted>
  <dcterms:created xsi:type="dcterms:W3CDTF">2016-10-31T20:00:00Z</dcterms:created>
  <dcterms:modified xsi:type="dcterms:W3CDTF">2017-03-28T16:32:00Z</dcterms:modified>
</cp:coreProperties>
</file>